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3200400" cy="27622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50563" y="3646650"/>
                          <a:ext cx="3190875" cy="266700"/>
                        </a:xfrm>
                        <a:prstGeom prst="rect">
                          <a:avLst/>
                        </a:prstGeom>
                        <a:solidFill>
                          <a:srgbClr val="F2DADA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CHSAB Multi-Agency Case File Audit – Part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3200400" cy="27622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317500</wp:posOffset>
                </wp:positionV>
                <wp:extent cx="8975725" cy="1533525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862900" y="3018000"/>
                          <a:ext cx="8966200" cy="1524000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This form is to be completed by the multi-agency audit team within the scheduled MACFA session.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It should be used to audit the contributions contained in Part 1, which will have been completed by the involved practitioner and their line manager / Agency Safeguarding Adults Lead. The purpose of the audit is to;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evaluate the intervention objectively and holistically in order to understand the experience of the person and determine whether there is any learning for the organisation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support the worker to reflect on their own practice, recognising successes and identifying any potential areas for learning/development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317500</wp:posOffset>
                </wp:positionV>
                <wp:extent cx="8975725" cy="1533525"/>
                <wp:effectExtent b="0" l="0" r="0" t="0"/>
                <wp:wrapNone/>
                <wp:docPr id="3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5725" cy="153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9"/>
        <w:gridCol w:w="11599"/>
        <w:tblGridChange w:id="0">
          <w:tblGrid>
            <w:gridCol w:w="2349"/>
            <w:gridCol w:w="11599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Number: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MOSAIC / RIO / NHS Number / Framework-I, etc.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MM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of primary need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Older people (non-Dementia)/ Dementia/ Learning Disability/ Autism/ Physical Disability/ Mental Health/ Acquired Brain Injury/ Other (please specify)…………………………………………………………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of time primary worker was involved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Up to 2 weeks, 2-4 weeks/4-8 weeks/2 -3 months/3 months +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primary worker involved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 of primary worker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 Manager’s / Supervisor / SA Lead / other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8950325" cy="1413510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875600" y="3078008"/>
                          <a:ext cx="894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Any other information relevant to situation or worker: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8950325" cy="1413510"/>
                <wp:effectExtent b="0" l="0" r="0" t="0"/>
                <wp:wrapNone/>
                <wp:docPr id="3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0325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4"/>
        <w:gridCol w:w="11594"/>
        <w:tblGridChange w:id="0">
          <w:tblGrid>
            <w:gridCol w:w="2354"/>
            <w:gridCol w:w="11594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 session members – role and agency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audit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425"/>
        <w:gridCol w:w="11685"/>
        <w:tblGridChange w:id="0">
          <w:tblGrid>
            <w:gridCol w:w="1838"/>
            <w:gridCol w:w="425"/>
            <w:gridCol w:w="1168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Audit areas as agreed by CHSAB: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sharing, focusing on what information is requested and for what purpose, in particular focusing on feedback to those reporting concerns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Mental Capacity – was this considered, assessed and how was this communicated between parties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Ownership of cases in multi-professional working, eg identification of a “lead professional”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Multi-agency approaches to risk, including assessment, management and review.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Recording of decisions and the multi-agency understanding of those decisions.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Safeguarding Personal – was the service user or their representative engaged in defining outcomes, decision making and protection planning.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 Audit emphasis: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 decided by CHSAB Executive Group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TBC as appropriate to the audit emphasis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TBC as appropriate to the audit emphasis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TBC as appropriate to the audit emphasis</w:t>
            </w:r>
          </w:p>
        </w:tc>
      </w:tr>
    </w:tbl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 should be completed by the multi-agency audit team during the schedule session, based upon a consensus view.</w:t>
      </w:r>
    </w:p>
    <w:tbl>
      <w:tblPr>
        <w:tblStyle w:val="Table4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2734"/>
        <w:gridCol w:w="690"/>
        <w:gridCol w:w="654"/>
        <w:gridCol w:w="699"/>
        <w:gridCol w:w="4170"/>
        <w:gridCol w:w="4341"/>
        <w:tblGridChange w:id="0">
          <w:tblGrid>
            <w:gridCol w:w="660"/>
            <w:gridCol w:w="2734"/>
            <w:gridCol w:w="690"/>
            <w:gridCol w:w="654"/>
            <w:gridCol w:w="699"/>
            <w:gridCol w:w="4170"/>
            <w:gridCol w:w="4341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Audit Measure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Evidence to support decision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Anything that could be done differently next time?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Was the safeguarding referral and response appropriate?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Was the level of information recorded and gathered proportionate to the nature of the risk being investigated?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Was there evidence of appropriate multi-agency information sharing?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Were the timeframes for different stages of the safeguarding work reasonable?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 there evidence that the worker has been appropriately and positively supported by their manager? 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Was their evidence to suggest that there was a lead agency / worker?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Was this acknowledged as self-neglect by all agencies?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Was there evidence of Making Safeguarding Personal approaches?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Was there a multi-agency approach to risk, including identification, assessment, management and review?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Was there consideration of a referral to the High Risk Panel, or equivalent in respective services?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Were there any significant delays that did, or could have impacted upon the case?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Was the “duty of care” addressed within the case discussion?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There is an option to use the space below to record any additional questions/areas discussed that you feel relevant to the particular case being audited:</w:t>
      </w:r>
    </w:p>
    <w:tbl>
      <w:tblPr>
        <w:tblStyle w:val="Table5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5"/>
        <w:gridCol w:w="2715"/>
        <w:gridCol w:w="691"/>
        <w:gridCol w:w="655"/>
        <w:gridCol w:w="700"/>
        <w:gridCol w:w="4180"/>
        <w:gridCol w:w="4352"/>
        <w:tblGridChange w:id="0">
          <w:tblGrid>
            <w:gridCol w:w="655"/>
            <w:gridCol w:w="2715"/>
            <w:gridCol w:w="691"/>
            <w:gridCol w:w="655"/>
            <w:gridCol w:w="700"/>
            <w:gridCol w:w="4180"/>
            <w:gridCol w:w="4352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following sections should be agreed through discussion at the multi-agency case file audit session and recorded as bullet points: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8924925" cy="2435225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888300" y="2567150"/>
                          <a:ext cx="891540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3 key aspects of this work do you think the agencies should be most proud of: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key messages would you provide to the practitioner / s involved in the case?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8924925" cy="2435225"/>
                <wp:effectExtent b="0" l="0" r="0" t="0"/>
                <wp:wrapNone/>
                <wp:docPr id="3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4925" cy="2435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127000</wp:posOffset>
                </wp:positionV>
                <wp:extent cx="8924925" cy="2498725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888300" y="2535400"/>
                          <a:ext cx="89154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there are areas for improvement in the intervention what were the 3 key factors that influenced this?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(resources, time, services, skills and knowledge of primary worker, skills and knowledge of others, management  support etc)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127000</wp:posOffset>
                </wp:positionV>
                <wp:extent cx="8924925" cy="2498725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4925" cy="249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228600</wp:posOffset>
                </wp:positionV>
                <wp:extent cx="8924925" cy="1981200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888300" y="2794163"/>
                          <a:ext cx="89154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needs to happen next?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E.g. feedback to senior managers/IT/other services/training and development needs/good practice examples. Agree actions and timeframes. Share as appropriate with worker’s line manager / supervisor / SA Lead for any follow up required in supervision.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228600</wp:posOffset>
                </wp:positionV>
                <wp:extent cx="8924925" cy="1981200"/>
                <wp:effectExtent b="0" l="0" r="0" t="0"/>
                <wp:wrapNone/>
                <wp:docPr id="3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4925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b w:val="1"/>
          <w:rtl w:val="0"/>
        </w:rPr>
        <w:t xml:space="preserve">MACFA Session Auditor:</w:t>
      </w:r>
      <w:r w:rsidDel="00000000" w:rsidR="00000000" w:rsidRPr="00000000">
        <w:rPr>
          <w:rtl w:val="0"/>
        </w:rPr>
        <w:t xml:space="preserve"> ……………………………………………</w:t>
      </w:r>
    </w:p>
    <w:p w:rsidR="00000000" w:rsidDel="00000000" w:rsidP="00000000" w:rsidRDefault="00000000" w:rsidRPr="00000000" w14:paraId="000000F3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Date: </w:t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Document Number: 18716204</w:t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Document Name: CHSAB MACFA Session template for auditors-Sept'17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4685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2203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link w:val="FooterChar"/>
    <w:uiPriority w:val="99"/>
    <w:unhideWhenUsed w:val="1"/>
    <w:rsid w:val="00B2203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203E"/>
  </w:style>
  <w:style w:type="paragraph" w:styleId="Header">
    <w:name w:val="header"/>
    <w:basedOn w:val="Normal"/>
    <w:link w:val="HeaderChar"/>
    <w:uiPriority w:val="99"/>
    <w:unhideWhenUsed w:val="1"/>
    <w:rsid w:val="00B2203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203E"/>
  </w:style>
  <w:style w:type="paragraph" w:styleId="ListParagraph">
    <w:name w:val="List Paragraph"/>
    <w:basedOn w:val="Normal"/>
    <w:uiPriority w:val="34"/>
    <w:qFormat w:val="1"/>
    <w:rsid w:val="00224456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25E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25E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6wYXDqyMnrha9dQ5+WP6/Z9y0g==">AMUW2mVZMrS+uHhBgkfZu7MxbNxVY3VJrQTWYw1aWrv2RHbqgmnSNxTOhwFRWT9ub0ZuTMQfZdzTG7syJkJR8mBVcsOaR+8xuNII9i+sSWaw3cHjoHd332FHaLwPmA63kZW11Qm6C/Kd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2017-08-31T10:52:00Z</dcterms:created>
  <dc:creator>Gillies, Sally (Adult Social Care - Solihull MBC)</dc:creator>
</cp:coreProperties>
</file>